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4A0"/>
      </w:tblPr>
      <w:tblGrid>
        <w:gridCol w:w="5580"/>
        <w:gridCol w:w="1506"/>
        <w:gridCol w:w="4556"/>
      </w:tblGrid>
      <w:tr w:rsidR="00EC516D" w:rsidRPr="00EC516D" w:rsidTr="00EC516D">
        <w:trPr>
          <w:cantSplit/>
        </w:trPr>
        <w:tc>
          <w:tcPr>
            <w:tcW w:w="5580" w:type="dxa"/>
          </w:tcPr>
          <w:p w:rsidR="00EC516D" w:rsidRDefault="00EC516D">
            <w:pPr>
              <w:spacing w:line="256" w:lineRule="auto"/>
              <w:ind w:left="-288" w:firstLine="288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>БАШ[ОРТОСТАН  РЕСПУБЛИКА]Ы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СА[МА{ОШ  РАЙОНЫ </w:t>
            </w:r>
          </w:p>
          <w:p w:rsidR="00EC516D" w:rsidRDefault="00EC516D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@  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4"/>
                <w:lang w:eastAsia="en-US"/>
              </w:rPr>
              <w:t>}РН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  <w:lang w:eastAsia="en-US"/>
              </w:rPr>
              <w:t>к</w:t>
            </w: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^]Е  </w:t>
            </w:r>
          </w:p>
          <w:p w:rsidR="00EC516D" w:rsidRDefault="00EC516D">
            <w:pPr>
              <w:pStyle w:val="2"/>
              <w:spacing w:line="25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  <w:lang w:eastAsia="en-US"/>
              </w:rPr>
            </w:pPr>
          </w:p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  <w:lang w:eastAsia="en-US"/>
              </w:rPr>
            </w:pPr>
          </w:p>
          <w:p w:rsidR="00EC516D" w:rsidRDefault="00EC516D">
            <w:pPr>
              <w:pStyle w:val="21"/>
              <w:framePr w:hSpace="0" w:wrap="auto" w:vAnchor="margin" w:hAnchor="text" w:xAlign="left" w:yAlign="in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452218, </w:t>
            </w:r>
            <w:r>
              <w:rPr>
                <w:bCs w:val="0"/>
                <w:lang w:eastAsia="en-US"/>
              </w:rPr>
              <w:t>}</w:t>
            </w:r>
            <w:proofErr w:type="spellStart"/>
            <w:r>
              <w:rPr>
                <w:bCs w:val="0"/>
                <w:lang w:eastAsia="en-US"/>
              </w:rPr>
              <w:t>рн&amp;к</w:t>
            </w:r>
            <w:proofErr w:type="spellEnd"/>
            <w:r>
              <w:rPr>
                <w:bCs w:val="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 Совет  урамы,2</w:t>
            </w:r>
          </w:p>
          <w:p w:rsidR="00EC516D" w:rsidRDefault="00EC516D">
            <w:pPr>
              <w:pStyle w:val="21"/>
              <w:framePr w:hSpace="0" w:wrap="auto" w:vAnchor="margin" w:hAnchor="text" w:xAlign="left" w:yAlign="inline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>. (34796) 2-61-37, 2-61-48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Cs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8"/>
                  <w:szCs w:val="18"/>
                  <w:lang w:val="en-US" w:eastAsia="en-US"/>
                </w:rPr>
                <w:t>urnyk_chek@ufamts.ru</w:t>
              </w:r>
            </w:smartTag>
          </w:p>
        </w:tc>
        <w:tc>
          <w:tcPr>
            <w:tcW w:w="1506" w:type="dxa"/>
            <w:hideMark/>
          </w:tcPr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6785" cy="1088390"/>
                  <wp:effectExtent l="19050" t="0" r="571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:rsidR="00EC516D" w:rsidRDefault="00EC516D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УРНЯКСКИЙ</w:t>
            </w:r>
            <w:r>
              <w:rPr>
                <w:bCs/>
                <w:lang w:eastAsia="en-US"/>
              </w:rPr>
              <w:t xml:space="preserve"> сельсовет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 район Республики Башкортостан</w:t>
            </w:r>
          </w:p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sz w:val="4"/>
                <w:lang w:eastAsia="en-US"/>
              </w:rPr>
            </w:pP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>, ул. Советская,2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sz w:val="18"/>
                <w:lang w:eastAsia="en-US"/>
              </w:rPr>
              <w:t>тел. (34796) 2-61-37, 2-61-48</w:t>
            </w:r>
          </w:p>
          <w:p w:rsidR="00EC516D" w:rsidRDefault="00EC516D">
            <w:pPr>
              <w:spacing w:line="256" w:lineRule="auto"/>
              <w:jc w:val="center"/>
              <w:rPr>
                <w:rFonts w:ascii="Arial New Bash" w:hAnsi="Arial New Bash"/>
                <w:bCs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8"/>
                  <w:szCs w:val="18"/>
                  <w:lang w:val="en-US" w:eastAsia="en-US"/>
                </w:rPr>
                <w:t>urnyk_chek@ufamts.ru</w:t>
              </w:r>
            </w:smartTag>
          </w:p>
        </w:tc>
      </w:tr>
      <w:tr w:rsidR="00EC516D" w:rsidTr="00EC516D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16D" w:rsidRDefault="00EC516D">
            <w:pPr>
              <w:spacing w:line="256" w:lineRule="auto"/>
              <w:jc w:val="center"/>
              <w:rPr>
                <w:color w:val="000000"/>
                <w:sz w:val="8"/>
                <w:szCs w:val="16"/>
                <w:lang w:val="en-US" w:eastAsia="en-US"/>
              </w:rPr>
            </w:pPr>
          </w:p>
          <w:p w:rsidR="00EC516D" w:rsidRDefault="00EC516D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  <w:lang w:eastAsia="en-US"/>
              </w:rPr>
              <w:t>ОКПО 04281303     ОГРН 1090260000379      ИНН  0249007100</w:t>
            </w:r>
          </w:p>
          <w:p w:rsidR="00EC516D" w:rsidRDefault="00EC516D">
            <w:pPr>
              <w:pStyle w:val="6"/>
              <w:framePr w:hSpace="0" w:wrap="auto" w:vAnchor="margin" w:hAnchor="text" w:yAlign="inline"/>
              <w:spacing w:line="25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EC516D" w:rsidRDefault="00EC516D" w:rsidP="00EC516D">
      <w:pPr>
        <w:rPr>
          <w:sz w:val="8"/>
        </w:rPr>
      </w:pPr>
    </w:p>
    <w:p w:rsidR="00EC516D" w:rsidRDefault="00EC516D" w:rsidP="00EC516D">
      <w:pPr>
        <w:rPr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EC516D" w:rsidRDefault="00EC516D" w:rsidP="00EC516D">
      <w:pPr>
        <w:rPr>
          <w:b/>
          <w:sz w:val="36"/>
        </w:rPr>
      </w:pPr>
    </w:p>
    <w:p w:rsidR="00EC516D" w:rsidRDefault="00EC516D" w:rsidP="00EC516D">
      <w:pPr>
        <w:pStyle w:val="1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«17» апрель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№  12              «17»апреля 2024 г.</w:t>
      </w:r>
    </w:p>
    <w:p w:rsidR="00EC516D" w:rsidRDefault="00EC516D" w:rsidP="00EC516D">
      <w:pPr>
        <w:pStyle w:val="1"/>
        <w:ind w:left="142" w:hanging="142"/>
        <w:rPr>
          <w:rFonts w:ascii="Times New Roman" w:hAnsi="Times New Roman"/>
          <w:sz w:val="28"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Программы «Комплексное развитие систем</w:t>
      </w: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 xml:space="preserve"> коммунальной инфраструктуры сельского поселения Урнякский сельсовет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 район Республики Башкортостан </w:t>
      </w: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на 2024 – 2028 годы»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EC516D" w:rsidRDefault="00EC516D" w:rsidP="00EC51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Программу «Комплексное развитие систем коммунальной инфраструктуры сельского поселения Урнякский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района Республики Башкортостан на 2024 – 2028 годы» согласно приложению.</w:t>
      </w:r>
    </w:p>
    <w:p w:rsidR="00EC516D" w:rsidRDefault="00EC516D" w:rsidP="00EC51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в ходе реализации Программы, мероприятия, объемы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EC516D" w:rsidRDefault="00EC516D" w:rsidP="00EC51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Настоящее  постановление обнародовать  на информационном стенде в здании администрации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 Республики Башкортостан по адресу: с. </w:t>
      </w:r>
      <w:proofErr w:type="spellStart"/>
      <w:r>
        <w:rPr>
          <w:szCs w:val="28"/>
        </w:rPr>
        <w:t>Урняк</w:t>
      </w:r>
      <w:proofErr w:type="spellEnd"/>
      <w:r>
        <w:rPr>
          <w:szCs w:val="28"/>
        </w:rPr>
        <w:t>, ул.Советская, д.2 и на официальном сайте   в сети «Интернет».</w:t>
      </w:r>
    </w:p>
    <w:p w:rsidR="00EC516D" w:rsidRDefault="00EC516D" w:rsidP="00EC51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C516D" w:rsidRDefault="00EC516D" w:rsidP="00EC516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4.  Контроль  за исполнением настоящего  постановления оставляю за собой.</w:t>
      </w:r>
    </w:p>
    <w:p w:rsidR="00EC516D" w:rsidRDefault="00EC516D" w:rsidP="00EC516D">
      <w:pPr>
        <w:rPr>
          <w:b/>
          <w:szCs w:val="28"/>
        </w:rPr>
      </w:pPr>
    </w:p>
    <w:p w:rsidR="00EC516D" w:rsidRDefault="00EC516D" w:rsidP="00EC516D">
      <w:pPr>
        <w:rPr>
          <w:szCs w:val="28"/>
        </w:rPr>
      </w:pPr>
      <w:r>
        <w:rPr>
          <w:b/>
          <w:szCs w:val="28"/>
        </w:rPr>
        <w:t xml:space="preserve"> </w:t>
      </w:r>
    </w:p>
    <w:p w:rsidR="00EC516D" w:rsidRDefault="00EC516D" w:rsidP="00EC516D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Cs w:val="28"/>
        </w:rPr>
        <w:t>Зайнетдинова</w:t>
      </w:r>
      <w:proofErr w:type="spellEnd"/>
      <w:r>
        <w:rPr>
          <w:szCs w:val="28"/>
        </w:rPr>
        <w:t xml:space="preserve"> Р.Д.</w:t>
      </w:r>
    </w:p>
    <w:p w:rsidR="00EC516D" w:rsidRDefault="00EC516D" w:rsidP="00EC516D">
      <w:pPr>
        <w:rPr>
          <w:sz w:val="26"/>
          <w:szCs w:val="26"/>
        </w:rPr>
      </w:pPr>
    </w:p>
    <w:p w:rsidR="00EC516D" w:rsidRDefault="00EC516D" w:rsidP="00EC516D">
      <w:pPr>
        <w:rPr>
          <w:sz w:val="26"/>
          <w:szCs w:val="26"/>
        </w:rPr>
      </w:pPr>
    </w:p>
    <w:p w:rsidR="00EC516D" w:rsidRDefault="00EC516D" w:rsidP="00EC516D">
      <w:pPr>
        <w:pStyle w:val="a4"/>
        <w:spacing w:after="0"/>
        <w:jc w:val="both"/>
        <w:rPr>
          <w:b/>
          <w:sz w:val="26"/>
          <w:szCs w:val="26"/>
        </w:rPr>
      </w:pPr>
    </w:p>
    <w:p w:rsidR="00EC516D" w:rsidRDefault="00EC516D" w:rsidP="00EC516D">
      <w:pPr>
        <w:pStyle w:val="a4"/>
        <w:spacing w:after="0"/>
        <w:jc w:val="both"/>
        <w:rPr>
          <w:b/>
          <w:sz w:val="26"/>
          <w:szCs w:val="26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EC516D" w:rsidRDefault="00EC516D" w:rsidP="00EC51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«Комплексное развитие систем коммунальной инфраструктуры сельского поселения Урнякский сельсовет муниципального района </w:t>
      </w:r>
      <w:proofErr w:type="spellStart"/>
      <w:r>
        <w:rPr>
          <w:b/>
          <w:sz w:val="40"/>
          <w:szCs w:val="40"/>
        </w:rPr>
        <w:t>Чекмагушевский</w:t>
      </w:r>
      <w:proofErr w:type="spellEnd"/>
      <w:r>
        <w:rPr>
          <w:b/>
          <w:sz w:val="40"/>
          <w:szCs w:val="40"/>
        </w:rPr>
        <w:t xml:space="preserve"> район Республики Башкортостан</w:t>
      </w:r>
    </w:p>
    <w:p w:rsidR="00EC516D" w:rsidRDefault="00EC516D" w:rsidP="00EC51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2024 – 2028 годы»</w:t>
      </w:r>
    </w:p>
    <w:p w:rsidR="00EC516D" w:rsidRDefault="00EC516D" w:rsidP="00EC516D">
      <w:pPr>
        <w:jc w:val="center"/>
        <w:rPr>
          <w:b/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both"/>
        <w:rPr>
          <w:bCs/>
          <w:szCs w:val="28"/>
        </w:rPr>
      </w:pPr>
    </w:p>
    <w:p w:rsidR="00EC516D" w:rsidRDefault="00EC516D" w:rsidP="00EC51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920"/>
      </w:tblGrid>
      <w:tr w:rsidR="00EC516D" w:rsidTr="00EC516D">
        <w:trPr>
          <w:trHeight w:val="7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Программа «Комплексное развитие систем коммунальной инфраструктуры </w:t>
            </w:r>
            <w:r>
              <w:rPr>
                <w:szCs w:val="28"/>
                <w:lang w:eastAsia="en-US"/>
              </w:rPr>
              <w:t xml:space="preserve">сельского поселения Урнякский сельсовет </w:t>
            </w:r>
            <w:r>
              <w:rPr>
                <w:spacing w:val="3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pacing w:val="3"/>
                <w:szCs w:val="28"/>
                <w:lang w:eastAsia="en-US"/>
              </w:rPr>
              <w:t xml:space="preserve"> район Республики Башкортостан на период 2024-2028 гг.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6D" w:rsidRDefault="00EC516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Федеральный закон от 30.12.2004. № 210-ФЗ «Об основах регулирования тарифов организаций коммунального комплекса»;</w:t>
            </w:r>
          </w:p>
          <w:p w:rsidR="00EC516D" w:rsidRDefault="00EC516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Федеральный закон  от 23.11.2009.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C516D" w:rsidRDefault="00EC516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spacing w:val="-3"/>
                <w:szCs w:val="28"/>
                <w:lang w:eastAsia="en-US"/>
              </w:rPr>
              <w:t xml:space="preserve">Градостроительный   кодекс Российской </w:t>
            </w:r>
            <w:r>
              <w:rPr>
                <w:spacing w:val="-1"/>
                <w:szCs w:val="28"/>
                <w:lang w:eastAsia="en-US"/>
              </w:rPr>
              <w:t>Федерации от 29 декабря 2004 года № 190-ФЗ;</w:t>
            </w:r>
          </w:p>
          <w:p w:rsidR="00EC516D" w:rsidRDefault="00EC516D">
            <w:pPr>
              <w:shd w:val="clear" w:color="auto" w:fill="FFFFFF"/>
              <w:tabs>
                <w:tab w:val="left" w:pos="2354"/>
              </w:tabs>
              <w:spacing w:line="295" w:lineRule="exact"/>
              <w:ind w:right="45"/>
              <w:rPr>
                <w:spacing w:val="-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Бюджетный кодекс Российской Федерации;</w:t>
            </w:r>
          </w:p>
          <w:p w:rsidR="00EC516D" w:rsidRDefault="00EC516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C516D" w:rsidRDefault="00EC516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Устав сельского поселения </w:t>
            </w:r>
            <w:r>
              <w:rPr>
                <w:color w:val="000000" w:themeColor="text1"/>
                <w:szCs w:val="28"/>
                <w:lang w:eastAsia="en-US"/>
              </w:rPr>
              <w:t xml:space="preserve">Урнякский </w:t>
            </w:r>
            <w:r>
              <w:rPr>
                <w:szCs w:val="28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zCs w:val="28"/>
                <w:lang w:eastAsia="en-US"/>
              </w:rPr>
              <w:t xml:space="preserve">  район Республики Башкортостан</w:t>
            </w:r>
          </w:p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Урнякский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EC516D" w:rsidTr="00EC516D">
        <w:trPr>
          <w:trHeight w:val="5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Урнякский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FF0000"/>
                <w:spacing w:val="-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модернизация коммунальной инфраструктуры,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 </w:t>
            </w:r>
            <w:r>
              <w:rPr>
                <w:color w:val="000000" w:themeColor="text1"/>
                <w:szCs w:val="28"/>
                <w:lang w:eastAsia="en-US"/>
              </w:rPr>
              <w:t>Урнякский</w:t>
            </w:r>
            <w:r>
              <w:rPr>
                <w:szCs w:val="28"/>
                <w:lang w:eastAsia="en-US"/>
              </w:rPr>
              <w:t xml:space="preserve"> сельсовет.    Для достижения этих целей необходимо решить следующие основные задачи: привлечь инвестиции из различных источников финансирования для развития систем коммунальной </w:t>
            </w:r>
            <w:r>
              <w:rPr>
                <w:szCs w:val="28"/>
                <w:lang w:eastAsia="en-US"/>
              </w:rPr>
              <w:lastRenderedPageBreak/>
              <w:t>инфраструктуры, модернизировать и реконструировать коммунальные сети, заменить устаревшее и изношенное оборудование, обеспечить возможность подключения к системам коммунальной инфраструктуры вновь создаваемых объектов недвижимости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>2024-2028 годы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color w:val="000000"/>
                <w:spacing w:val="3"/>
                <w:szCs w:val="28"/>
                <w:lang w:eastAsia="en-US"/>
              </w:rPr>
            </w:pPr>
            <w:r>
              <w:rPr>
                <w:color w:val="000000"/>
                <w:spacing w:val="3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  Поэтапное восстановление объектов коммунальной инфраструктуры, имеющих большой процент износа;</w:t>
            </w:r>
          </w:p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  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>
              <w:rPr>
                <w:spacing w:val="3"/>
                <w:szCs w:val="28"/>
                <w:lang w:eastAsia="en-US"/>
              </w:rPr>
              <w:t>энерго</w:t>
            </w:r>
            <w:proofErr w:type="spellEnd"/>
            <w:r>
              <w:rPr>
                <w:spacing w:val="3"/>
                <w:szCs w:val="28"/>
                <w:lang w:eastAsia="en-US"/>
              </w:rPr>
              <w:t xml:space="preserve">- и ресурсосбережения; </w:t>
            </w:r>
          </w:p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   расширение охвата населения коммунальными услугами за счет развития централизованной системы водоснабжения,   обеспечения площадками для сбора твердых коммунальных отходов в населенных пунктах сельского поселения.       </w:t>
            </w:r>
          </w:p>
          <w:p w:rsidR="00EC516D" w:rsidRDefault="00EC516D">
            <w:pPr>
              <w:spacing w:line="256" w:lineRule="auto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  </w:t>
            </w:r>
            <w:r>
              <w:rPr>
                <w:spacing w:val="3"/>
                <w:lang w:eastAsia="en-US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EC516D" w:rsidRDefault="00EC516D">
            <w:pPr>
              <w:shd w:val="clear" w:color="auto" w:fill="FFFFFF"/>
              <w:tabs>
                <w:tab w:val="left" w:pos="514"/>
              </w:tabs>
              <w:spacing w:line="256" w:lineRule="auto"/>
              <w:ind w:left="432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 приведение производственных мощностей </w:t>
            </w:r>
            <w:proofErr w:type="spellStart"/>
            <w:r>
              <w:rPr>
                <w:spacing w:val="3"/>
                <w:lang w:eastAsia="en-US"/>
              </w:rPr>
              <w:t>ресурсоснабжающих</w:t>
            </w:r>
            <w:proofErr w:type="spellEnd"/>
            <w:r>
              <w:rPr>
                <w:spacing w:val="3"/>
                <w:lang w:eastAsia="en-US"/>
              </w:rPr>
              <w:t xml:space="preserve"> организаций в соответствие с перспективными потребностями в коммунальных ресурсах.</w:t>
            </w:r>
          </w:p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6D" w:rsidRDefault="00EC516D">
            <w:pPr>
              <w:pStyle w:val="ConsNonformat"/>
              <w:spacing w:line="256" w:lineRule="auto"/>
              <w:ind w:left="35" w:firstLine="5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мероприятий Программы  осуществляется  за счет  средств  бюджета РБ, бюджета МР, бюджета СП согласно дорожной карте сельского поселения. Объем средств республиканского бюджета, направляемых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программных   мероприятий, устанавливается  после подписания соответствующих соглашений. </w:t>
            </w:r>
          </w:p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2028 году ожидается достижение следующих результатов:</w:t>
            </w:r>
          </w:p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1. Снижение потерь коммунальных ресурсов в процессе их выработки, транспортировки и распределении.</w:t>
            </w:r>
          </w:p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2. Снижение удельного объема коммунальных ресурсов, потребляемых населением.</w:t>
            </w:r>
          </w:p>
          <w:p w:rsidR="00EC516D" w:rsidRDefault="00EC516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EC516D" w:rsidTr="00EC516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Контроль за </w:t>
            </w:r>
            <w:r>
              <w:rPr>
                <w:spacing w:val="3"/>
                <w:szCs w:val="28"/>
                <w:lang w:eastAsia="en-US"/>
              </w:rPr>
              <w:lastRenderedPageBreak/>
              <w:t>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lastRenderedPageBreak/>
              <w:t xml:space="preserve">    Программа реализуется на территории </w:t>
            </w:r>
            <w:r>
              <w:rPr>
                <w:szCs w:val="28"/>
                <w:lang w:eastAsia="en-US"/>
              </w:rPr>
              <w:t xml:space="preserve">сельского поселения </w:t>
            </w:r>
            <w:r>
              <w:rPr>
                <w:szCs w:val="28"/>
                <w:lang w:eastAsia="en-US"/>
              </w:rPr>
              <w:lastRenderedPageBreak/>
              <w:t xml:space="preserve">Урнякский сельсовет </w:t>
            </w:r>
            <w:r>
              <w:rPr>
                <w:spacing w:val="3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pacing w:val="3"/>
                <w:szCs w:val="28"/>
                <w:lang w:eastAsia="en-US"/>
              </w:rPr>
              <w:t xml:space="preserve"> район Республики Башкортостан. </w:t>
            </w:r>
          </w:p>
          <w:p w:rsidR="00EC516D" w:rsidRDefault="00EC516D">
            <w:pPr>
              <w:spacing w:line="256" w:lineRule="auto"/>
              <w:jc w:val="both"/>
              <w:rPr>
                <w:spacing w:val="3"/>
                <w:szCs w:val="28"/>
                <w:lang w:eastAsia="en-US"/>
              </w:rPr>
            </w:pPr>
            <w:r>
              <w:rPr>
                <w:spacing w:val="3"/>
                <w:szCs w:val="28"/>
                <w:lang w:eastAsia="en-US"/>
              </w:rPr>
              <w:t xml:space="preserve">           Контроль за исполнением Программы осуществляется главой </w:t>
            </w:r>
            <w:r>
              <w:rPr>
                <w:szCs w:val="28"/>
                <w:lang w:eastAsia="en-US"/>
              </w:rPr>
              <w:t xml:space="preserve">сельского поселения Урнякский сельсовет </w:t>
            </w:r>
            <w:r>
              <w:rPr>
                <w:spacing w:val="3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szCs w:val="28"/>
                <w:lang w:eastAsia="en-US"/>
              </w:rPr>
              <w:t>Чекмагушевский</w:t>
            </w:r>
            <w:proofErr w:type="spellEnd"/>
            <w:r>
              <w:rPr>
                <w:spacing w:val="3"/>
                <w:szCs w:val="28"/>
                <w:lang w:eastAsia="en-US"/>
              </w:rPr>
              <w:t xml:space="preserve"> район Республики Башкортостан. </w:t>
            </w:r>
          </w:p>
        </w:tc>
      </w:tr>
    </w:tbl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both"/>
        <w:rPr>
          <w:b/>
          <w:szCs w:val="28"/>
        </w:rPr>
      </w:pPr>
    </w:p>
    <w:p w:rsidR="00EC516D" w:rsidRDefault="00EC516D" w:rsidP="00EC516D">
      <w:pPr>
        <w:jc w:val="both"/>
        <w:rPr>
          <w:b/>
          <w:szCs w:val="28"/>
        </w:rPr>
      </w:pPr>
    </w:p>
    <w:p w:rsidR="00EC516D" w:rsidRDefault="00EC516D" w:rsidP="00EC516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Содержание проблемы и обоснование необходимости ее решения</w:t>
      </w:r>
    </w:p>
    <w:p w:rsidR="00EC516D" w:rsidRDefault="00EC516D" w:rsidP="00EC516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программными методами</w:t>
      </w:r>
    </w:p>
    <w:p w:rsidR="00EC516D" w:rsidRDefault="00EC516D" w:rsidP="00EC516D">
      <w:pPr>
        <w:ind w:left="720"/>
        <w:jc w:val="center"/>
        <w:rPr>
          <w:b/>
          <w:szCs w:val="28"/>
        </w:rPr>
      </w:pP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Настоящая Программа разработана в соответствии с Федеральными законами от 06.10.2003. № 131 – ФЗ «Об общих принципах организации местного самоуправления в Российской Федерации», от 30.12.2004. № 210 – ФЗ «Об основах регулирования тарифов организаций коммунального комплекса», от 23.11.2009.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Программа «Комплексное развитие систем коммунальной инфраструктуры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 на 2024-2028 годы» 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EC516D" w:rsidRDefault="00EC516D" w:rsidP="00EC516D">
      <w:pPr>
        <w:jc w:val="both"/>
        <w:rPr>
          <w:color w:val="000000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    </w:t>
      </w:r>
      <w:r>
        <w:rPr>
          <w:color w:val="000000"/>
          <w:szCs w:val="28"/>
          <w:shd w:val="clear" w:color="auto" w:fill="FFFFFF"/>
        </w:rPr>
        <w:t xml:space="preserve">Программа обеспечивает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</w:t>
      </w:r>
      <w:proofErr w:type="spellStart"/>
      <w:r>
        <w:rPr>
          <w:color w:val="000000"/>
          <w:szCs w:val="28"/>
          <w:shd w:val="clear" w:color="auto" w:fill="FFFFFF"/>
        </w:rPr>
        <w:t>электро</w:t>
      </w:r>
      <w:proofErr w:type="spellEnd"/>
      <w:r>
        <w:rPr>
          <w:color w:val="000000"/>
          <w:szCs w:val="28"/>
          <w:shd w:val="clear" w:color="auto" w:fill="FFFFFF"/>
        </w:rPr>
        <w:t xml:space="preserve">-, </w:t>
      </w:r>
      <w:proofErr w:type="spellStart"/>
      <w:r>
        <w:rPr>
          <w:color w:val="000000"/>
          <w:szCs w:val="28"/>
          <w:shd w:val="clear" w:color="auto" w:fill="FFFFFF"/>
        </w:rPr>
        <w:t>газо</w:t>
      </w:r>
      <w:proofErr w:type="spellEnd"/>
      <w:r>
        <w:rPr>
          <w:color w:val="000000"/>
          <w:szCs w:val="28"/>
          <w:shd w:val="clear" w:color="auto" w:fill="FFFFFF"/>
        </w:rPr>
        <w:t>-, тепло-, водоснабжения и водоотведения, а также услуг по сбору твердых бытовых отходов.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Капитальный ремонт существующей системы электроснабжения, газоснабжения, водоснабжения  отвечает интересам жителей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 и позволит сформировать рыночный </w:t>
      </w:r>
      <w:r>
        <w:rPr>
          <w:szCs w:val="28"/>
        </w:rPr>
        <w:lastRenderedPageBreak/>
        <w:t xml:space="preserve">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 газоснабжения,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жилищно-коммунального хозяйства.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В связи с тем, что сельское поселение Урнякский 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Цели и задачи Программы</w:t>
      </w:r>
    </w:p>
    <w:p w:rsidR="00EC516D" w:rsidRDefault="00EC516D" w:rsidP="00EC516D">
      <w:pPr>
        <w:ind w:left="720"/>
        <w:rPr>
          <w:b/>
          <w:szCs w:val="28"/>
        </w:rPr>
      </w:pP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Реализация данной цели предполагает решение следующих задач: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снижение потерь при эксплуатации систем энергоснабжения, газоснабжения водоснабжения населения.</w:t>
      </w:r>
    </w:p>
    <w:p w:rsidR="00EC516D" w:rsidRDefault="00EC516D" w:rsidP="00EC516D">
      <w:pPr>
        <w:jc w:val="center"/>
        <w:rPr>
          <w:szCs w:val="28"/>
        </w:rPr>
      </w:pPr>
    </w:p>
    <w:p w:rsidR="00EC516D" w:rsidRDefault="00EC516D" w:rsidP="00EC516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Сроки и этапы реализации Программы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Программа реализуется в течение 2024-2028 годов.</w:t>
      </w:r>
    </w:p>
    <w:p w:rsidR="00EC516D" w:rsidRDefault="00EC516D" w:rsidP="00EC516D">
      <w:pPr>
        <w:jc w:val="center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4. Оценка состояния инженерной инфраструктуры</w:t>
      </w:r>
    </w:p>
    <w:p w:rsidR="00EC516D" w:rsidRDefault="00EC516D" w:rsidP="00EC516D">
      <w:pPr>
        <w:jc w:val="both"/>
        <w:rPr>
          <w:b/>
          <w:szCs w:val="28"/>
        </w:rPr>
      </w:pPr>
      <w:r>
        <w:rPr>
          <w:b/>
          <w:szCs w:val="28"/>
        </w:rPr>
        <w:t>4.1. Водоснабжение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Источниками водоснабжения населенных пунктов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 являются: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color w:val="000000" w:themeColor="text1"/>
          <w:szCs w:val="28"/>
        </w:rPr>
        <w:t xml:space="preserve">В </w:t>
      </w:r>
      <w:proofErr w:type="spellStart"/>
      <w:r>
        <w:rPr>
          <w:color w:val="000000" w:themeColor="text1"/>
          <w:szCs w:val="28"/>
        </w:rPr>
        <w:t>с.Урняк</w:t>
      </w:r>
      <w:proofErr w:type="spellEnd"/>
      <w:r>
        <w:rPr>
          <w:szCs w:val="28"/>
        </w:rPr>
        <w:t xml:space="preserve"> источником водоснабжения является эксплуатационная скважина, расположенная в сторону запада 500 метров от населенного пункта  </w:t>
      </w:r>
      <w:proofErr w:type="spellStart"/>
      <w:r>
        <w:rPr>
          <w:szCs w:val="28"/>
        </w:rPr>
        <w:t>с.Урняк</w:t>
      </w:r>
      <w:proofErr w:type="spellEnd"/>
      <w:r>
        <w:rPr>
          <w:szCs w:val="28"/>
        </w:rPr>
        <w:t xml:space="preserve"> ( рабочая,  в систему водоснабжения села  подключена )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color w:val="000000" w:themeColor="text1"/>
          <w:szCs w:val="28"/>
        </w:rPr>
        <w:t>с.Урняк</w:t>
      </w:r>
      <w:proofErr w:type="spellEnd"/>
      <w:r>
        <w:rPr>
          <w:szCs w:val="28"/>
        </w:rPr>
        <w:t xml:space="preserve"> источником водоснабжения является эксплуатационная скважина находится  на территории  МТМ ООО "СП Базы"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( рабочая,  в систему водоснабжения села  подключена )</w:t>
      </w:r>
    </w:p>
    <w:p w:rsidR="00EC516D" w:rsidRDefault="00EC516D" w:rsidP="00EC516D">
      <w:pPr>
        <w:jc w:val="both"/>
        <w:rPr>
          <w:b/>
          <w:szCs w:val="28"/>
        </w:rPr>
      </w:pPr>
      <w:r>
        <w:rPr>
          <w:color w:val="00B050"/>
          <w:szCs w:val="28"/>
        </w:rPr>
        <w:t xml:space="preserve">     </w:t>
      </w:r>
      <w:r>
        <w:rPr>
          <w:color w:val="000000" w:themeColor="text1"/>
          <w:szCs w:val="28"/>
        </w:rPr>
        <w:t xml:space="preserve">В д. </w:t>
      </w:r>
      <w:proofErr w:type="spellStart"/>
      <w:r>
        <w:rPr>
          <w:color w:val="000000" w:themeColor="text1"/>
          <w:szCs w:val="28"/>
        </w:rPr>
        <w:t>Нур</w:t>
      </w:r>
      <w:proofErr w:type="spellEnd"/>
      <w:r>
        <w:rPr>
          <w:color w:val="000000" w:themeColor="text1"/>
          <w:szCs w:val="28"/>
        </w:rPr>
        <w:t xml:space="preserve">  источником водоснабжения является эксплуатационная скважина,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расположена при въезде в </w:t>
      </w:r>
      <w:proofErr w:type="spellStart"/>
      <w:r>
        <w:rPr>
          <w:szCs w:val="28"/>
        </w:rPr>
        <w:t>д.Нур</w:t>
      </w:r>
      <w:proofErr w:type="spellEnd"/>
      <w:r>
        <w:rPr>
          <w:szCs w:val="28"/>
        </w:rPr>
        <w:t xml:space="preserve"> с правой стороны,    подъездной путь  имеется.</w:t>
      </w:r>
    </w:p>
    <w:p w:rsidR="00EC516D" w:rsidRDefault="00EC516D" w:rsidP="00EC516D">
      <w:pPr>
        <w:jc w:val="both"/>
        <w:rPr>
          <w:szCs w:val="28"/>
        </w:rPr>
      </w:pPr>
      <w:r>
        <w:rPr>
          <w:color w:val="00B050"/>
          <w:szCs w:val="28"/>
        </w:rPr>
        <w:lastRenderedPageBreak/>
        <w:t xml:space="preserve">     </w:t>
      </w:r>
      <w:r>
        <w:rPr>
          <w:color w:val="000000" w:themeColor="text1"/>
          <w:szCs w:val="28"/>
        </w:rPr>
        <w:t xml:space="preserve">В </w:t>
      </w:r>
      <w:proofErr w:type="spellStart"/>
      <w:r>
        <w:rPr>
          <w:color w:val="000000" w:themeColor="text1"/>
          <w:szCs w:val="28"/>
        </w:rPr>
        <w:t>д</w:t>
      </w:r>
      <w:proofErr w:type="spellEnd"/>
      <w:r>
        <w:rPr>
          <w:color w:val="000000" w:themeColor="text1"/>
          <w:szCs w:val="28"/>
        </w:rPr>
        <w:t xml:space="preserve"> .</w:t>
      </w:r>
      <w:proofErr w:type="spellStart"/>
      <w:r>
        <w:rPr>
          <w:color w:val="000000" w:themeColor="text1"/>
          <w:szCs w:val="28"/>
        </w:rPr>
        <w:t>Киндеркулево</w:t>
      </w:r>
      <w:proofErr w:type="spellEnd"/>
      <w:r>
        <w:rPr>
          <w:color w:val="000000" w:themeColor="text1"/>
          <w:szCs w:val="28"/>
        </w:rPr>
        <w:t xml:space="preserve"> источником водоснабжения является эксплуатационная скважина, расположена при въезде в деревню со стороны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 xml:space="preserve"> с левой стороны, оснащен  краном,  подъездной путь  имеется.</w:t>
      </w:r>
    </w:p>
    <w:p w:rsidR="00EC516D" w:rsidRDefault="00EC516D" w:rsidP="00EC516D">
      <w:pPr>
        <w:jc w:val="both"/>
        <w:rPr>
          <w:szCs w:val="28"/>
        </w:rPr>
      </w:pPr>
      <w:r>
        <w:rPr>
          <w:color w:val="00B050"/>
          <w:szCs w:val="28"/>
        </w:rPr>
        <w:t xml:space="preserve">     </w:t>
      </w:r>
      <w:r>
        <w:rPr>
          <w:color w:val="000000" w:themeColor="text1"/>
          <w:szCs w:val="28"/>
        </w:rPr>
        <w:t>В с.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с. </w:t>
      </w:r>
      <w:proofErr w:type="spellStart"/>
      <w:r>
        <w:rPr>
          <w:color w:val="000000" w:themeColor="text1"/>
          <w:szCs w:val="28"/>
        </w:rPr>
        <w:t>Кусекеево</w:t>
      </w:r>
      <w:proofErr w:type="spellEnd"/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источником водоснабжения является эксплуатационная скважина,</w:t>
      </w:r>
      <w:r>
        <w:rPr>
          <w:color w:val="00B050"/>
          <w:szCs w:val="28"/>
        </w:rPr>
        <w:t xml:space="preserve"> </w:t>
      </w:r>
      <w:r>
        <w:rPr>
          <w:szCs w:val="28"/>
        </w:rPr>
        <w:t xml:space="preserve">расположена вблизи дома </w:t>
      </w:r>
      <w:proofErr w:type="spellStart"/>
      <w:r>
        <w:rPr>
          <w:szCs w:val="28"/>
        </w:rPr>
        <w:t>ул.Аюпова</w:t>
      </w:r>
      <w:proofErr w:type="spellEnd"/>
      <w:r>
        <w:rPr>
          <w:szCs w:val="28"/>
        </w:rPr>
        <w:t xml:space="preserve"> № 20 ,оснащен незамерзающим гидрантом ,  подъездной путь  имеется.</w:t>
      </w:r>
    </w:p>
    <w:p w:rsidR="00EC516D" w:rsidRDefault="00EC516D" w:rsidP="00EC516D">
      <w:pPr>
        <w:jc w:val="both"/>
        <w:rPr>
          <w:szCs w:val="28"/>
        </w:rPr>
      </w:pPr>
      <w:r>
        <w:rPr>
          <w:color w:val="00B050"/>
          <w:szCs w:val="28"/>
        </w:rPr>
        <w:t xml:space="preserve">     </w:t>
      </w:r>
      <w:r>
        <w:rPr>
          <w:color w:val="000000" w:themeColor="text1"/>
          <w:szCs w:val="28"/>
        </w:rPr>
        <w:t>В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с. </w:t>
      </w:r>
      <w:proofErr w:type="spellStart"/>
      <w:r>
        <w:rPr>
          <w:color w:val="000000" w:themeColor="text1"/>
          <w:szCs w:val="28"/>
        </w:rPr>
        <w:t>Аблаево</w:t>
      </w:r>
      <w:proofErr w:type="spellEnd"/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источником водоснабжения является эксплуатационная скважина, </w:t>
      </w:r>
      <w:r>
        <w:rPr>
          <w:szCs w:val="28"/>
        </w:rPr>
        <w:t xml:space="preserve">расположена в  500 метров от населенного пункта  </w:t>
      </w:r>
      <w:proofErr w:type="spellStart"/>
      <w:r>
        <w:rPr>
          <w:szCs w:val="28"/>
        </w:rPr>
        <w:t>с.Аблаево</w:t>
      </w:r>
      <w:proofErr w:type="spellEnd"/>
      <w:r>
        <w:rPr>
          <w:szCs w:val="28"/>
        </w:rPr>
        <w:t xml:space="preserve"> ( рабочая,  в систему водоснабжения села  подключена )</w:t>
      </w:r>
    </w:p>
    <w:p w:rsidR="00EC516D" w:rsidRDefault="00EC516D" w:rsidP="00EC516D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В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с. </w:t>
      </w:r>
      <w:proofErr w:type="spellStart"/>
      <w:r>
        <w:rPr>
          <w:color w:val="000000" w:themeColor="text1"/>
          <w:szCs w:val="28"/>
        </w:rPr>
        <w:t>Аблаево</w:t>
      </w:r>
      <w:proofErr w:type="spellEnd"/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источником водоснабжения является эксплуатационная скважина</w:t>
      </w:r>
      <w:r>
        <w:rPr>
          <w:szCs w:val="28"/>
        </w:rPr>
        <w:t xml:space="preserve"> расположенная  на территории  МТМ ООО " СП Базы"  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( рабочая,  в систему водоснабжения села  подключена )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Оснащен   незамерзающим краном для забора воды , подъездная дорога имеется. </w:t>
      </w:r>
    </w:p>
    <w:p w:rsidR="00EC516D" w:rsidRDefault="00EC516D" w:rsidP="00EC516D">
      <w:pPr>
        <w:jc w:val="both"/>
        <w:rPr>
          <w:b/>
          <w:szCs w:val="28"/>
        </w:rPr>
      </w:pPr>
    </w:p>
    <w:p w:rsidR="00EC516D" w:rsidRDefault="00EC516D" w:rsidP="00EC516D">
      <w:pPr>
        <w:jc w:val="both"/>
        <w:rPr>
          <w:szCs w:val="28"/>
        </w:rPr>
      </w:pPr>
      <w:r>
        <w:rPr>
          <w:color w:val="00B050"/>
          <w:szCs w:val="28"/>
        </w:rPr>
        <w:t xml:space="preserve">          </w:t>
      </w:r>
      <w:r>
        <w:rPr>
          <w:color w:val="000000" w:themeColor="text1"/>
          <w:szCs w:val="28"/>
        </w:rPr>
        <w:t xml:space="preserve">В </w:t>
      </w:r>
      <w:r>
        <w:rPr>
          <w:b/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с.Бардаслы</w:t>
      </w:r>
      <w:proofErr w:type="spellEnd"/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источником водоснабжения является эксплуатационная скважина,</w:t>
      </w:r>
      <w:r>
        <w:rPr>
          <w:szCs w:val="28"/>
        </w:rPr>
        <w:t xml:space="preserve"> расположена</w:t>
      </w:r>
      <w:r>
        <w:rPr>
          <w:color w:val="00B050"/>
          <w:szCs w:val="28"/>
        </w:rPr>
        <w:t xml:space="preserve"> </w:t>
      </w:r>
      <w:r>
        <w:rPr>
          <w:szCs w:val="28"/>
        </w:rPr>
        <w:t>при въезде в деревню с левой стороны,  оборудована краном для забора воды ,  подъездной путь  имеется.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EC516D" w:rsidRDefault="00EC516D" w:rsidP="00EC516D">
      <w:pPr>
        <w:jc w:val="both"/>
        <w:rPr>
          <w:color w:val="FF0000"/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 родников, рек и озер не защищены, состояние зон санитарной охраны источников водоснабжения удовлетворительное.  </w:t>
      </w:r>
    </w:p>
    <w:p w:rsidR="00EC516D" w:rsidRDefault="00EC516D" w:rsidP="00EC516D">
      <w:pPr>
        <w:rPr>
          <w:szCs w:val="28"/>
        </w:rPr>
      </w:pPr>
    </w:p>
    <w:p w:rsidR="00EC516D" w:rsidRDefault="00EC516D" w:rsidP="00EC516D">
      <w:pPr>
        <w:rPr>
          <w:b/>
          <w:szCs w:val="28"/>
        </w:rPr>
      </w:pPr>
      <w:r>
        <w:rPr>
          <w:b/>
          <w:szCs w:val="28"/>
        </w:rPr>
        <w:t>4.2. Электроснабжение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Потребителями электроэнергии являются предприятия, учреждения,  сельское хозяйство, жилая застройка.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Энергопитание населенных пунктов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осуществляется по воздушной линии электропередач 6 кВ.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Количество трансформаторов (5/04 кВ), установленных в населенных пунктах -25: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szCs w:val="28"/>
        </w:rPr>
        <w:t>с.Урняк</w:t>
      </w:r>
      <w:proofErr w:type="spellEnd"/>
      <w:r>
        <w:rPr>
          <w:szCs w:val="28"/>
        </w:rPr>
        <w:t xml:space="preserve"> – (№№</w:t>
      </w:r>
      <w:r>
        <w:rPr>
          <w:color w:val="000000" w:themeColor="text1"/>
          <w:szCs w:val="28"/>
        </w:rPr>
        <w:t>7566, 7387, 7143 );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с.Аблаево</w:t>
      </w:r>
      <w:proofErr w:type="spellEnd"/>
      <w:r>
        <w:rPr>
          <w:color w:val="000000" w:themeColor="text1"/>
          <w:szCs w:val="28"/>
        </w:rPr>
        <w:t>-  (№№7131, 7296, 7299,7297,7127,7298,7131,7135,7586,7126);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с.Бардаслы</w:t>
      </w:r>
      <w:proofErr w:type="spellEnd"/>
      <w:r>
        <w:rPr>
          <w:color w:val="000000" w:themeColor="text1"/>
          <w:szCs w:val="28"/>
        </w:rPr>
        <w:t xml:space="preserve"> – (№7374);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д.Нур</w:t>
      </w:r>
      <w:proofErr w:type="spellEnd"/>
      <w:r>
        <w:rPr>
          <w:color w:val="000000" w:themeColor="text1"/>
          <w:szCs w:val="28"/>
        </w:rPr>
        <w:t xml:space="preserve"> – (№7149);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д.Киндеркулево</w:t>
      </w:r>
      <w:proofErr w:type="spellEnd"/>
      <w:r>
        <w:rPr>
          <w:color w:val="000000" w:themeColor="text1"/>
          <w:szCs w:val="28"/>
        </w:rPr>
        <w:t xml:space="preserve"> – (№№7185,7568,7321,7322);</w:t>
      </w:r>
    </w:p>
    <w:p w:rsidR="00EC516D" w:rsidRDefault="00EC516D" w:rsidP="00EC516D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с.Кусекеево</w:t>
      </w:r>
      <w:proofErr w:type="spellEnd"/>
      <w:r>
        <w:rPr>
          <w:color w:val="000000" w:themeColor="text1"/>
          <w:szCs w:val="28"/>
        </w:rPr>
        <w:t xml:space="preserve"> –  (№7138,7529,7139,7137,7599,7391);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 Электроснабжение потребителей на территории района обеспечивает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РЭС. 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Для высоковольтных линий электропередач используются провода типа АС-70-120, при прокладке новых линий электропередач для снабжения новых объектов электроэнергией  рекомендуется применение самонесущего изолированного провода СИП 2А.     </w:t>
      </w:r>
    </w:p>
    <w:p w:rsidR="00EC516D" w:rsidRDefault="00EC516D" w:rsidP="00EC516D">
      <w:pPr>
        <w:rPr>
          <w:szCs w:val="28"/>
        </w:rPr>
      </w:pPr>
    </w:p>
    <w:p w:rsidR="00EC516D" w:rsidRDefault="00EC516D" w:rsidP="00EC516D">
      <w:pPr>
        <w:rPr>
          <w:b/>
          <w:szCs w:val="28"/>
        </w:rPr>
      </w:pPr>
      <w:r>
        <w:rPr>
          <w:b/>
          <w:szCs w:val="28"/>
        </w:rPr>
        <w:lastRenderedPageBreak/>
        <w:t>4.3. Газоснабжение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Газоснабжение населенных пунктов сельского поселения Юмашевский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осуществляется  филиалом ОАО «Газпром газораспределение Уфа» в  </w:t>
      </w:r>
      <w:proofErr w:type="spellStart"/>
      <w:r>
        <w:rPr>
          <w:color w:val="000000" w:themeColor="text1"/>
          <w:szCs w:val="28"/>
        </w:rPr>
        <w:t>г.Нефтекамске</w:t>
      </w:r>
      <w:proofErr w:type="spellEnd"/>
      <w:r>
        <w:rPr>
          <w:szCs w:val="28"/>
        </w:rPr>
        <w:t xml:space="preserve"> Республики Башкортостан. Все населенные пункты сельского поселения газифицированы.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Основными потребителями газа являются: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котельные общественных и административно-бытовых зданий, подключение которых предусмотрено к газопроводу среднего давления Р&lt; 0,3МПа;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жилые дома, отопление которых предусмотрено от газовых котлов типа АОГВ,  установленных в каждом доме. Газоснабжение жилых домов осуществляется сетевым газом низкого давления Р&lt; 0,003 МПа.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Газоснабжение жилых домов и котельных производится газом низкого давления после понижения давления в ГРП и ШРП.</w:t>
      </w:r>
    </w:p>
    <w:p w:rsidR="00EC516D" w:rsidRDefault="00EC516D" w:rsidP="00EC516D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4.4. Улично-дорожная сеть</w:t>
      </w:r>
    </w:p>
    <w:p w:rsidR="00EC516D" w:rsidRDefault="00EC516D" w:rsidP="00EC516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Дорожная сеть сельского поселения представляет собой сложную схему, основанную на сочетании исторически сформировавшихся планировочных схем линейной, комбинированной и прочих.</w:t>
      </w:r>
      <w:bookmarkStart w:id="0" w:name="_Toc242512389"/>
      <w:bookmarkStart w:id="1" w:name="_Toc270950890"/>
      <w:bookmarkStart w:id="2" w:name="_Toc312530956"/>
    </w:p>
    <w:p w:rsidR="00EC516D" w:rsidRDefault="00EC516D" w:rsidP="00EC516D">
      <w:pPr>
        <w:pStyle w:val="a6"/>
        <w:spacing w:before="1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Таблица </w:t>
      </w:r>
    </w:p>
    <w:p w:rsidR="00EC516D" w:rsidRDefault="00EC516D" w:rsidP="00EC516D">
      <w:pPr>
        <w:pStyle w:val="a6"/>
        <w:spacing w:after="120"/>
        <w:ind w:firstLine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Характеристика </w:t>
      </w:r>
      <w:proofErr w:type="spellStart"/>
      <w:r>
        <w:rPr>
          <w:color w:val="000000"/>
          <w:sz w:val="28"/>
          <w:szCs w:val="28"/>
          <w:lang w:val="ru-RU"/>
        </w:rPr>
        <w:t>внутрипоселковой</w:t>
      </w:r>
      <w:proofErr w:type="spellEnd"/>
      <w:r>
        <w:rPr>
          <w:color w:val="000000"/>
          <w:sz w:val="28"/>
          <w:szCs w:val="28"/>
          <w:lang w:val="ru-RU"/>
        </w:rPr>
        <w:t xml:space="preserve"> улично-дорожной сети СП Урнякский сельсовет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4"/>
        <w:gridCol w:w="2267"/>
        <w:gridCol w:w="1843"/>
        <w:gridCol w:w="1922"/>
        <w:gridCol w:w="1388"/>
        <w:gridCol w:w="6"/>
      </w:tblGrid>
      <w:tr w:rsidR="00EC516D" w:rsidTr="00EC516D">
        <w:trPr>
          <w:jc w:val="center"/>
        </w:trPr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улицы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Протяженность, км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покрытия</w:t>
            </w:r>
          </w:p>
        </w:tc>
      </w:tr>
      <w:tr w:rsidR="00EC516D" w:rsidTr="00EC516D">
        <w:trPr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Урняк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Бахтизина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0.868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Ахунова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гравийное</w:t>
            </w:r>
          </w:p>
        </w:tc>
      </w:tr>
      <w:tr w:rsidR="00EC516D" w:rsidTr="00EC516D">
        <w:trPr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Тукая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гравийное</w:t>
            </w:r>
          </w:p>
        </w:tc>
      </w:tr>
      <w:tr w:rsidR="00EC516D" w:rsidTr="00EC516D">
        <w:trPr>
          <w:trHeight w:val="1283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ул.Советская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асфальтобетонное, песчано-гравийное</w:t>
            </w:r>
          </w:p>
        </w:tc>
      </w:tr>
      <w:tr w:rsidR="00EC516D" w:rsidTr="00EC516D">
        <w:trPr>
          <w:trHeight w:val="81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ул.Киреева </w:t>
            </w:r>
            <w:proofErr w:type="spellStart"/>
            <w:r>
              <w:rPr>
                <w:lang w:eastAsia="en-US"/>
              </w:rPr>
              <w:t>Ильдархана</w:t>
            </w:r>
            <w:proofErr w:type="spellEnd"/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322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86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ул.Киреева </w:t>
            </w:r>
            <w:proofErr w:type="spellStart"/>
            <w:r>
              <w:rPr>
                <w:lang w:eastAsia="en-US"/>
              </w:rPr>
              <w:t>Шамси</w:t>
            </w:r>
            <w:proofErr w:type="spellEnd"/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</w:tr>
      <w:tr w:rsidR="00EC516D" w:rsidTr="00EC516D">
        <w:trPr>
          <w:trHeight w:val="322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753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ул.Бакирова </w:t>
            </w:r>
            <w:proofErr w:type="spellStart"/>
            <w:r>
              <w:rPr>
                <w:lang w:eastAsia="en-US"/>
              </w:rPr>
              <w:t>Ильнура</w:t>
            </w:r>
            <w:proofErr w:type="spellEnd"/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</w:tr>
      <w:tr w:rsidR="00EC516D" w:rsidTr="00EC516D">
        <w:trPr>
          <w:trHeight w:val="419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ул.Урожай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47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ул.Аюпова</w:t>
            </w:r>
            <w:proofErr w:type="spellEnd"/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1030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ул.Победы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25"/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д.Киндеркулево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Буденного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38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ул.Мира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366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ул.Полевая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2505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ул.Парковая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gridAfter w:val="1"/>
          <w:wAfter w:w="6" w:type="dxa"/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с.Кусекеево</w:t>
            </w:r>
            <w:proofErr w:type="spellEnd"/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Аминева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  Урнякский сельсовет 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hideMark/>
          </w:tcPr>
          <w:p w:rsidR="00EC516D" w:rsidRDefault="00EC516D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75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Аюпова</w:t>
            </w:r>
            <w:proofErr w:type="spellEnd"/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67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Ахтямова</w:t>
            </w:r>
            <w:proofErr w:type="spellEnd"/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67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C516D" w:rsidTr="00EC516D">
        <w:trPr>
          <w:trHeight w:val="707"/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с.Аблаево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ул.Профессора </w:t>
            </w:r>
            <w:proofErr w:type="spellStart"/>
            <w:r>
              <w:rPr>
                <w:lang w:eastAsia="en-US"/>
              </w:rPr>
              <w:t>Кудаярова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384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ул.Мира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322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ул.Каратал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</w:tr>
      <w:tr w:rsidR="00EC516D" w:rsidTr="00EC516D">
        <w:trPr>
          <w:trHeight w:val="95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песчано-гравийное,грунтовая</w:t>
            </w:r>
            <w:proofErr w:type="spellEnd"/>
          </w:p>
        </w:tc>
      </w:tr>
      <w:tr w:rsidR="00EC516D" w:rsidTr="00EC516D">
        <w:trPr>
          <w:trHeight w:val="61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ул.Советская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419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ул.Молодежная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40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ул.Акрам Вали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650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ул.Октябрьская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951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ул.Береговая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454"/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д.Бардаслы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ул.Первомайская</w:t>
            </w: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trHeight w:val="506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Ул.Садовая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trHeight w:val="149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ул.Лесная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</w:tr>
      <w:tr w:rsidR="00EC516D" w:rsidTr="00EC516D">
        <w:trPr>
          <w:trHeight w:val="678"/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</w:tr>
      <w:tr w:rsidR="00EC516D" w:rsidTr="00EC516D">
        <w:trPr>
          <w:jc w:val="center"/>
        </w:trPr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д.Нур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ул.Молодежная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1,250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грунтовая</w:t>
            </w:r>
          </w:p>
        </w:tc>
      </w:tr>
      <w:tr w:rsidR="00EC516D" w:rsidTr="00EC516D">
        <w:trPr>
          <w:jc w:val="center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д.Яш Куч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ул.Дружбы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 Урнякский сельсовет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</w:tr>
      <w:tr w:rsidR="00EC516D" w:rsidTr="00EC516D">
        <w:trPr>
          <w:jc w:val="center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516D" w:rsidRDefault="00EC516D">
            <w:pPr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16D" w:rsidRDefault="00EC516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EC516D" w:rsidRDefault="00EC516D" w:rsidP="00EC516D">
      <w:pPr>
        <w:pStyle w:val="a6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Значительная часть автомобильных дорог местного значения  требует реконструкции и ремонта.</w:t>
      </w:r>
      <w:bookmarkEnd w:id="0"/>
      <w:bookmarkEnd w:id="1"/>
      <w:bookmarkEnd w:id="2"/>
      <w:r>
        <w:rPr>
          <w:sz w:val="28"/>
          <w:szCs w:val="28"/>
          <w:lang w:val="ru-RU"/>
        </w:rPr>
        <w:t xml:space="preserve"> Улицы и дороги населённых пунктов поселения представлены как с асфальтовым покрытием, так и грунтовыми и щебёночными.</w:t>
      </w:r>
    </w:p>
    <w:p w:rsidR="00EC516D" w:rsidRDefault="00EC516D" w:rsidP="00EC516D">
      <w:pPr>
        <w:ind w:firstLine="720"/>
        <w:rPr>
          <w:b/>
          <w:szCs w:val="28"/>
        </w:rPr>
      </w:pPr>
      <w:r>
        <w:rPr>
          <w:szCs w:val="28"/>
        </w:rPr>
        <w:t>Многоуровневые развязки на автомобильных дорогах отсутствуют.</w:t>
      </w:r>
    </w:p>
    <w:p w:rsidR="00EC516D" w:rsidRDefault="00EC516D" w:rsidP="00EC516D">
      <w:pPr>
        <w:rPr>
          <w:szCs w:val="28"/>
        </w:rPr>
      </w:pP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5. Перечень основных мероприятий Программы</w:t>
      </w: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Организационные мероприятия предусматривают: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формирование перечня объектов, подлежащих реконструкции, модернизации, капитальному ремонту, строительству (Приложение к Программе);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lastRenderedPageBreak/>
        <w:t xml:space="preserve">     Капитальный ремонт, строительство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электроснабжению,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6. Механизм реализации Программы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 Администрация сельского поселения Урнякский 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 в рамках настоящей Программы: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осуществляет общее руководство, координацию и контроль за реализацией Программы;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формирует перечень объектов, подлежащих включению в Программу (Приложение к Программе);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7. Ресурсное обеспечение Программы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Финансирование мероприятий Программы осуществляется за счет средств сельского поселения с привлечением средств республиканского бюджета, районного бюджета, других источников финансирования. Общий объем финансирования Программы составляет  650 000  рублей.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lastRenderedPageBreak/>
        <w:t xml:space="preserve">     Объемы финансирования Программы на 2024-2028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8. Управление реализацией Программы и контроль за ходом ее исполнения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 Администрация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EC516D" w:rsidRDefault="00EC516D" w:rsidP="00EC516D">
      <w:pPr>
        <w:jc w:val="both"/>
        <w:rPr>
          <w:szCs w:val="28"/>
        </w:rPr>
      </w:pPr>
    </w:p>
    <w:p w:rsidR="00EC516D" w:rsidRDefault="00EC516D" w:rsidP="00EC516D">
      <w:pPr>
        <w:jc w:val="center"/>
        <w:rPr>
          <w:b/>
          <w:szCs w:val="28"/>
        </w:rPr>
      </w:pPr>
      <w:r>
        <w:rPr>
          <w:b/>
          <w:szCs w:val="28"/>
        </w:rPr>
        <w:t>9. Оценка эффективности реализации Программы</w:t>
      </w:r>
    </w:p>
    <w:p w:rsidR="00EC516D" w:rsidRDefault="00EC516D" w:rsidP="00EC516D">
      <w:pPr>
        <w:jc w:val="center"/>
        <w:rPr>
          <w:b/>
          <w:szCs w:val="28"/>
        </w:rPr>
      </w:pP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     Успешная реализация Программы позволит: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>- обеспечить жителей поселения бесперебойным, безопасным предоставлением коммунальных услуг (электроснабжения, газоснабжения);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- сократить потребление </w:t>
      </w:r>
      <w:proofErr w:type="spellStart"/>
      <w:r>
        <w:rPr>
          <w:szCs w:val="28"/>
        </w:rPr>
        <w:t>электроресурсов</w:t>
      </w:r>
      <w:proofErr w:type="spellEnd"/>
      <w:r>
        <w:rPr>
          <w:szCs w:val="28"/>
        </w:rPr>
        <w:t xml:space="preserve"> за счет применения более </w:t>
      </w:r>
      <w:proofErr w:type="spellStart"/>
      <w:r>
        <w:rPr>
          <w:szCs w:val="28"/>
        </w:rPr>
        <w:t>энергоэффективного</w:t>
      </w:r>
      <w:proofErr w:type="spellEnd"/>
      <w:r>
        <w:rPr>
          <w:szCs w:val="28"/>
        </w:rPr>
        <w:t xml:space="preserve"> оборудования;</w:t>
      </w:r>
    </w:p>
    <w:p w:rsidR="00EC516D" w:rsidRDefault="00EC516D" w:rsidP="00EC516D">
      <w:pPr>
        <w:jc w:val="both"/>
        <w:rPr>
          <w:szCs w:val="28"/>
        </w:rPr>
      </w:pPr>
      <w:r>
        <w:rPr>
          <w:szCs w:val="28"/>
        </w:rPr>
        <w:t xml:space="preserve">- улучшить экологическое состояние населенных пунктов за счет обустройства новых площадок для раздельного сбора твердых коммунальных отходов. </w:t>
      </w:r>
    </w:p>
    <w:p w:rsidR="00EC516D" w:rsidRDefault="00EC516D" w:rsidP="00EC516D">
      <w:pPr>
        <w:jc w:val="both"/>
        <w:rPr>
          <w:szCs w:val="28"/>
        </w:rPr>
      </w:pPr>
    </w:p>
    <w:p w:rsidR="008F2742" w:rsidRDefault="008F2742"/>
    <w:sectPr w:rsidR="008F2742" w:rsidSect="008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1D1"/>
    <w:multiLevelType w:val="hybridMultilevel"/>
    <w:tmpl w:val="2AA0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C516D"/>
    <w:rsid w:val="008F2742"/>
    <w:rsid w:val="00E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516D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C516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EC516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51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51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51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16D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EC516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5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516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51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EC516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No Spacing,ПФ-таб.текст"/>
    <w:link w:val="NoSpacingChar"/>
    <w:rsid w:val="00E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C5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Обычный текст"/>
    <w:basedOn w:val="a"/>
    <w:uiPriority w:val="99"/>
    <w:rsid w:val="00EC516D"/>
    <w:pPr>
      <w:ind w:firstLine="709"/>
      <w:jc w:val="both"/>
    </w:pPr>
    <w:rPr>
      <w:sz w:val="24"/>
      <w:lang w:val="en-US" w:eastAsia="ar-SA" w:bidi="en-US"/>
    </w:rPr>
  </w:style>
  <w:style w:type="paragraph" w:styleId="a7">
    <w:name w:val="Balloon Text"/>
    <w:basedOn w:val="a"/>
    <w:link w:val="a8"/>
    <w:uiPriority w:val="99"/>
    <w:semiHidden/>
    <w:unhideWhenUsed/>
    <w:rsid w:val="00E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3114</Words>
  <Characters>17752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2024-04-26T07:58:00Z</dcterms:created>
  <dcterms:modified xsi:type="dcterms:W3CDTF">2024-04-26T07:59:00Z</dcterms:modified>
</cp:coreProperties>
</file>